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7B" w:rsidRDefault="0024157B" w:rsidP="0084320D">
      <w:pPr>
        <w:jc w:val="both"/>
        <w:rPr>
          <w:rFonts w:ascii="Arial" w:hAnsi="Arial" w:cs="Arial"/>
          <w:b/>
        </w:rPr>
      </w:pPr>
      <w:bookmarkStart w:id="0" w:name="_GoBack"/>
      <w:bookmarkEnd w:id="0"/>
    </w:p>
    <w:p w:rsidR="00CB3BCE" w:rsidRDefault="00CB3BCE" w:rsidP="00CB3BCE">
      <w:pPr>
        <w:ind w:left="284"/>
        <w:jc w:val="both"/>
        <w:rPr>
          <w:rFonts w:ascii="Arial" w:hAnsi="Arial" w:cs="Arial"/>
          <w:b/>
          <w:bCs/>
          <w:sz w:val="22"/>
        </w:rPr>
      </w:pPr>
    </w:p>
    <w:p w:rsidR="00CB3BCE" w:rsidRDefault="00CB3BCE" w:rsidP="00CB3BCE">
      <w:pPr>
        <w:ind w:left="284"/>
        <w:jc w:val="both"/>
        <w:rPr>
          <w:rFonts w:ascii="Arial" w:hAnsi="Arial" w:cs="Arial"/>
          <w:b/>
          <w:bCs/>
          <w:sz w:val="22"/>
        </w:rPr>
      </w:pPr>
    </w:p>
    <w:p w:rsidR="00CB3BCE" w:rsidRPr="00564A27" w:rsidRDefault="00CB3BCE" w:rsidP="00CB3BCE">
      <w:pPr>
        <w:ind w:left="284"/>
        <w:jc w:val="both"/>
        <w:rPr>
          <w:rFonts w:ascii="Arial" w:hAnsi="Arial" w:cs="Arial"/>
          <w:b/>
          <w:bCs/>
          <w:sz w:val="22"/>
        </w:rPr>
      </w:pPr>
      <w:r w:rsidRPr="00564A27">
        <w:rPr>
          <w:rFonts w:ascii="Arial" w:hAnsi="Arial" w:cs="Arial"/>
          <w:b/>
          <w:bCs/>
          <w:sz w:val="22"/>
        </w:rPr>
        <w:t>Rationale </w:t>
      </w:r>
    </w:p>
    <w:p w:rsidR="00CB3BCE" w:rsidRDefault="00CB3BCE" w:rsidP="00CB3BCE">
      <w:pPr>
        <w:ind w:left="284"/>
        <w:jc w:val="both"/>
        <w:rPr>
          <w:rFonts w:ascii="Arial" w:hAnsi="Arial" w:cs="Arial"/>
          <w:bCs/>
          <w:sz w:val="22"/>
        </w:rPr>
      </w:pPr>
      <w:r>
        <w:rPr>
          <w:rFonts w:ascii="Arial" w:hAnsi="Arial" w:cs="Arial"/>
          <w:bCs/>
          <w:sz w:val="22"/>
        </w:rPr>
        <w:t>Cockatoo Primary School</w:t>
      </w:r>
      <w:r w:rsidRPr="00564A27">
        <w:rPr>
          <w:rFonts w:ascii="Arial" w:hAnsi="Arial" w:cs="Arial"/>
          <w:bCs/>
          <w:sz w:val="22"/>
        </w:rPr>
        <w:t xml:space="preserve"> follows a clear process for responding to and reporting suspected child abuse. </w:t>
      </w:r>
    </w:p>
    <w:p w:rsidR="00CB3BCE" w:rsidRPr="00564A27" w:rsidRDefault="00CB3BCE" w:rsidP="00CB3BCE">
      <w:pPr>
        <w:ind w:left="284"/>
        <w:jc w:val="both"/>
        <w:rPr>
          <w:rFonts w:ascii="Arial" w:hAnsi="Arial" w:cs="Arial"/>
          <w:bCs/>
          <w:sz w:val="22"/>
        </w:rPr>
      </w:pPr>
    </w:p>
    <w:p w:rsidR="00CB3BCE" w:rsidRPr="00564A27" w:rsidRDefault="00CB3BCE" w:rsidP="00CB3BCE">
      <w:pPr>
        <w:ind w:left="284"/>
        <w:jc w:val="both"/>
        <w:rPr>
          <w:rFonts w:ascii="Arial" w:hAnsi="Arial" w:cs="Arial"/>
          <w:bCs/>
          <w:sz w:val="22"/>
        </w:rPr>
      </w:pPr>
      <w:r w:rsidRPr="00564A27">
        <w:rPr>
          <w:rFonts w:ascii="Arial" w:hAnsi="Arial" w:cs="Arial"/>
          <w:bCs/>
          <w:sz w:val="22"/>
        </w:rPr>
        <w:t>If a child discloses an incident of abuse to you</w:t>
      </w:r>
    </w:p>
    <w:p w:rsidR="00CB3BCE" w:rsidRPr="00564A27" w:rsidRDefault="00CB3BCE" w:rsidP="00CB3BCE">
      <w:pPr>
        <w:numPr>
          <w:ilvl w:val="0"/>
          <w:numId w:val="3"/>
        </w:numPr>
        <w:ind w:left="567" w:hanging="283"/>
        <w:jc w:val="both"/>
        <w:rPr>
          <w:rFonts w:ascii="Arial" w:hAnsi="Arial" w:cs="Arial"/>
          <w:bCs/>
          <w:sz w:val="22"/>
        </w:rPr>
      </w:pPr>
      <w:r w:rsidRPr="00564A27">
        <w:rPr>
          <w:rFonts w:ascii="Arial" w:hAnsi="Arial" w:cs="Arial"/>
          <w:bCs/>
          <w:sz w:val="22"/>
        </w:rPr>
        <w:t xml:space="preserve">Try and separate them from the other children </w:t>
      </w:r>
      <w:r w:rsidR="000A178B" w:rsidRPr="000A178B">
        <w:rPr>
          <w:rFonts w:ascii="Arial" w:hAnsi="Arial" w:cs="Arial"/>
        </w:rPr>
        <w:t>discretely</w:t>
      </w:r>
      <w:r w:rsidRPr="00564A27">
        <w:rPr>
          <w:rFonts w:ascii="Arial" w:hAnsi="Arial" w:cs="Arial"/>
          <w:bCs/>
          <w:sz w:val="22"/>
        </w:rPr>
        <w:t xml:space="preserve"> and listen to them carefully.</w:t>
      </w:r>
    </w:p>
    <w:p w:rsidR="00CB3BCE" w:rsidRPr="00564A27" w:rsidRDefault="00CB3BCE" w:rsidP="00CB3BCE">
      <w:pPr>
        <w:numPr>
          <w:ilvl w:val="0"/>
          <w:numId w:val="3"/>
        </w:numPr>
        <w:ind w:left="567" w:hanging="283"/>
        <w:jc w:val="both"/>
        <w:rPr>
          <w:rFonts w:ascii="Arial" w:hAnsi="Arial" w:cs="Arial"/>
          <w:bCs/>
          <w:sz w:val="22"/>
        </w:rPr>
      </w:pPr>
      <w:r w:rsidRPr="00564A27">
        <w:rPr>
          <w:rFonts w:ascii="Arial" w:hAnsi="Arial" w:cs="Arial"/>
          <w:bCs/>
          <w:sz w:val="22"/>
        </w:rPr>
        <w:t>Let the child use their own words to explain what has occurred.</w:t>
      </w:r>
    </w:p>
    <w:p w:rsidR="00CB3BCE" w:rsidRPr="00564A27" w:rsidRDefault="00CB3BCE" w:rsidP="00CB3BCE">
      <w:pPr>
        <w:numPr>
          <w:ilvl w:val="0"/>
          <w:numId w:val="3"/>
        </w:numPr>
        <w:ind w:left="567" w:hanging="283"/>
        <w:jc w:val="both"/>
        <w:rPr>
          <w:rFonts w:ascii="Arial" w:hAnsi="Arial" w:cs="Arial"/>
          <w:bCs/>
          <w:sz w:val="22"/>
        </w:rPr>
      </w:pPr>
      <w:r w:rsidRPr="00564A27">
        <w:rPr>
          <w:rFonts w:ascii="Arial" w:hAnsi="Arial" w:cs="Arial"/>
          <w:bCs/>
          <w:sz w:val="22"/>
        </w:rPr>
        <w:t>Reassure the child that you take what they are saying seriously, and it is not their fault and that they are doing the right thing.</w:t>
      </w:r>
    </w:p>
    <w:p w:rsidR="00CB3BCE" w:rsidRPr="00564A27" w:rsidRDefault="00CB3BCE" w:rsidP="00CB3BCE">
      <w:pPr>
        <w:numPr>
          <w:ilvl w:val="0"/>
          <w:numId w:val="3"/>
        </w:numPr>
        <w:ind w:left="567" w:hanging="283"/>
        <w:jc w:val="both"/>
        <w:rPr>
          <w:rFonts w:ascii="Arial" w:hAnsi="Arial" w:cs="Arial"/>
          <w:bCs/>
          <w:sz w:val="22"/>
        </w:rPr>
      </w:pPr>
      <w:r w:rsidRPr="00564A27">
        <w:rPr>
          <w:rFonts w:ascii="Arial" w:hAnsi="Arial" w:cs="Arial"/>
          <w:bCs/>
          <w:sz w:val="22"/>
        </w:rPr>
        <w:t>Explain to them that this information may need to be shared with others, such as with their parent/carer, specific people in our school, or the police.</w:t>
      </w:r>
    </w:p>
    <w:p w:rsidR="00CB3BCE" w:rsidRPr="00564A27" w:rsidRDefault="00CB3BCE" w:rsidP="00CB3BCE">
      <w:pPr>
        <w:numPr>
          <w:ilvl w:val="0"/>
          <w:numId w:val="3"/>
        </w:numPr>
        <w:ind w:left="567" w:hanging="283"/>
        <w:jc w:val="both"/>
        <w:rPr>
          <w:rFonts w:ascii="Arial" w:hAnsi="Arial" w:cs="Arial"/>
          <w:bCs/>
          <w:sz w:val="22"/>
        </w:rPr>
      </w:pPr>
      <w:r w:rsidRPr="00564A27">
        <w:rPr>
          <w:rFonts w:ascii="Arial" w:hAnsi="Arial" w:cs="Arial"/>
          <w:bCs/>
          <w:sz w:val="22"/>
        </w:rPr>
        <w:t>Do not make promises to the child such as promising not to tell anyone about the incident, except that you will do your best to keep them safe.</w:t>
      </w:r>
    </w:p>
    <w:p w:rsidR="00CB3BCE" w:rsidRPr="00564A27" w:rsidRDefault="00CB3BCE" w:rsidP="00CB3BCE">
      <w:pPr>
        <w:numPr>
          <w:ilvl w:val="0"/>
          <w:numId w:val="3"/>
        </w:numPr>
        <w:ind w:left="567" w:hanging="283"/>
        <w:jc w:val="both"/>
        <w:rPr>
          <w:rFonts w:ascii="Arial" w:hAnsi="Arial" w:cs="Arial"/>
          <w:bCs/>
          <w:sz w:val="22"/>
        </w:rPr>
      </w:pPr>
      <w:r w:rsidRPr="00564A27">
        <w:rPr>
          <w:rFonts w:ascii="Arial" w:hAnsi="Arial" w:cs="Arial"/>
          <w:bCs/>
          <w:sz w:val="22"/>
        </w:rPr>
        <w:t>Do not leave the child in a distressed state. If they seem at ease in your company, stay with them.</w:t>
      </w:r>
    </w:p>
    <w:p w:rsidR="00CB3BCE" w:rsidRPr="00564A27" w:rsidRDefault="00CB3BCE" w:rsidP="00CB3BCE">
      <w:pPr>
        <w:numPr>
          <w:ilvl w:val="0"/>
          <w:numId w:val="3"/>
        </w:numPr>
        <w:ind w:left="567" w:hanging="283"/>
        <w:jc w:val="both"/>
        <w:rPr>
          <w:rFonts w:ascii="Arial" w:hAnsi="Arial" w:cs="Arial"/>
          <w:bCs/>
          <w:sz w:val="22"/>
        </w:rPr>
      </w:pPr>
      <w:r w:rsidRPr="00564A27">
        <w:rPr>
          <w:rFonts w:ascii="Arial" w:hAnsi="Arial" w:cs="Arial"/>
          <w:bCs/>
          <w:sz w:val="22"/>
        </w:rPr>
        <w:t>Provide them with an incident report form to complete, or complete it together, if you think the child is able to do this.</w:t>
      </w:r>
    </w:p>
    <w:p w:rsidR="00CB3BCE" w:rsidRPr="00564A27" w:rsidRDefault="00CB3BCE" w:rsidP="00CB3BCE">
      <w:pPr>
        <w:numPr>
          <w:ilvl w:val="0"/>
          <w:numId w:val="3"/>
        </w:numPr>
        <w:ind w:left="567" w:hanging="283"/>
        <w:jc w:val="both"/>
        <w:rPr>
          <w:rFonts w:ascii="Arial" w:hAnsi="Arial" w:cs="Arial"/>
          <w:bCs/>
          <w:sz w:val="22"/>
        </w:rPr>
      </w:pPr>
      <w:r w:rsidRPr="00564A27">
        <w:rPr>
          <w:rFonts w:ascii="Arial" w:hAnsi="Arial" w:cs="Arial"/>
          <w:bCs/>
          <w:sz w:val="22"/>
        </w:rPr>
        <w:t>As soon as possible after the disclosure, record the information using the child’s words and report the disclosure to the child safety officers, police or child protection.</w:t>
      </w:r>
    </w:p>
    <w:p w:rsidR="00CB3BCE" w:rsidRPr="00564A27" w:rsidRDefault="00CB3BCE" w:rsidP="00CB3BCE">
      <w:pPr>
        <w:numPr>
          <w:ilvl w:val="0"/>
          <w:numId w:val="3"/>
        </w:numPr>
        <w:ind w:left="567" w:hanging="283"/>
        <w:jc w:val="both"/>
        <w:rPr>
          <w:rFonts w:ascii="Arial" w:hAnsi="Arial" w:cs="Arial"/>
          <w:bCs/>
          <w:sz w:val="22"/>
        </w:rPr>
      </w:pPr>
      <w:r w:rsidRPr="00564A27">
        <w:rPr>
          <w:rFonts w:ascii="Arial" w:hAnsi="Arial" w:cs="Arial"/>
          <w:bCs/>
          <w:sz w:val="22"/>
        </w:rPr>
        <w:t>Ensure the disclosure is recorded accurately, and that the record is stored securely. </w:t>
      </w:r>
    </w:p>
    <w:p w:rsidR="00CB3BCE" w:rsidRDefault="00CB3BCE" w:rsidP="00CB3BCE">
      <w:pPr>
        <w:ind w:left="567" w:hanging="283"/>
        <w:jc w:val="both"/>
        <w:rPr>
          <w:rFonts w:ascii="Arial" w:hAnsi="Arial" w:cs="Arial"/>
          <w:bCs/>
          <w:sz w:val="22"/>
        </w:rPr>
      </w:pPr>
    </w:p>
    <w:p w:rsidR="00CB3BCE" w:rsidRPr="00564A27" w:rsidRDefault="00CB3BCE" w:rsidP="00CB3BCE">
      <w:pPr>
        <w:ind w:left="567" w:hanging="283"/>
        <w:jc w:val="both"/>
        <w:rPr>
          <w:rFonts w:ascii="Arial" w:hAnsi="Arial" w:cs="Arial"/>
          <w:bCs/>
          <w:sz w:val="22"/>
        </w:rPr>
      </w:pPr>
      <w:r w:rsidRPr="00564A27">
        <w:rPr>
          <w:rFonts w:ascii="Arial" w:hAnsi="Arial" w:cs="Arial"/>
          <w:bCs/>
          <w:sz w:val="22"/>
        </w:rPr>
        <w:t xml:space="preserve">If a parent/carer says their child has been abused at </w:t>
      </w:r>
      <w:r>
        <w:rPr>
          <w:rFonts w:ascii="Arial" w:hAnsi="Arial" w:cs="Arial"/>
          <w:bCs/>
          <w:sz w:val="22"/>
        </w:rPr>
        <w:t>Cockatoo</w:t>
      </w:r>
      <w:r w:rsidRPr="00564A27">
        <w:rPr>
          <w:rFonts w:ascii="Arial" w:hAnsi="Arial" w:cs="Arial"/>
          <w:bCs/>
          <w:sz w:val="22"/>
        </w:rPr>
        <w:t xml:space="preserve"> Primary School or raises a concern</w:t>
      </w:r>
    </w:p>
    <w:p w:rsidR="00CB3BCE" w:rsidRPr="00564A27" w:rsidRDefault="00CB3BCE" w:rsidP="00CB3BCE">
      <w:pPr>
        <w:numPr>
          <w:ilvl w:val="0"/>
          <w:numId w:val="5"/>
        </w:numPr>
        <w:ind w:left="567" w:hanging="283"/>
        <w:jc w:val="both"/>
        <w:rPr>
          <w:rFonts w:ascii="Arial" w:hAnsi="Arial" w:cs="Arial"/>
          <w:bCs/>
          <w:sz w:val="22"/>
        </w:rPr>
      </w:pPr>
      <w:r w:rsidRPr="00564A27">
        <w:rPr>
          <w:rFonts w:ascii="Arial" w:hAnsi="Arial" w:cs="Arial"/>
          <w:bCs/>
          <w:sz w:val="22"/>
        </w:rPr>
        <w:t>Explain that our school has processes to ensure all abuse allegations are taken very seriously.</w:t>
      </w:r>
    </w:p>
    <w:p w:rsidR="00CB3BCE" w:rsidRPr="00564A27" w:rsidRDefault="00CB3BCE" w:rsidP="00CB3BCE">
      <w:pPr>
        <w:numPr>
          <w:ilvl w:val="0"/>
          <w:numId w:val="4"/>
        </w:numPr>
        <w:ind w:left="567" w:hanging="283"/>
        <w:jc w:val="both"/>
        <w:rPr>
          <w:rFonts w:ascii="Arial" w:hAnsi="Arial" w:cs="Arial"/>
          <w:bCs/>
          <w:sz w:val="22"/>
        </w:rPr>
      </w:pPr>
      <w:r w:rsidRPr="00564A27">
        <w:rPr>
          <w:rFonts w:ascii="Arial" w:hAnsi="Arial" w:cs="Arial"/>
          <w:bCs/>
          <w:sz w:val="22"/>
        </w:rPr>
        <w:t>Ask about the wellbeing of the child. </w:t>
      </w:r>
    </w:p>
    <w:p w:rsidR="00CB3BCE" w:rsidRPr="00564A27" w:rsidRDefault="00CB3BCE" w:rsidP="00CB3BCE">
      <w:pPr>
        <w:numPr>
          <w:ilvl w:val="0"/>
          <w:numId w:val="4"/>
        </w:numPr>
        <w:ind w:left="567" w:hanging="283"/>
        <w:jc w:val="both"/>
        <w:rPr>
          <w:rFonts w:ascii="Arial" w:hAnsi="Arial" w:cs="Arial"/>
          <w:bCs/>
          <w:sz w:val="22"/>
        </w:rPr>
      </w:pPr>
      <w:r w:rsidRPr="00564A27">
        <w:rPr>
          <w:rFonts w:ascii="Arial" w:hAnsi="Arial" w:cs="Arial"/>
          <w:bCs/>
          <w:sz w:val="22"/>
        </w:rPr>
        <w:t xml:space="preserve">Allow the parent/carer to talk through the incident in </w:t>
      </w:r>
      <w:proofErr w:type="gramStart"/>
      <w:r w:rsidRPr="00564A27">
        <w:rPr>
          <w:rFonts w:ascii="Arial" w:hAnsi="Arial" w:cs="Arial"/>
          <w:bCs/>
          <w:sz w:val="22"/>
        </w:rPr>
        <w:t>their own</w:t>
      </w:r>
      <w:proofErr w:type="gramEnd"/>
      <w:r w:rsidRPr="00564A27">
        <w:rPr>
          <w:rFonts w:ascii="Arial" w:hAnsi="Arial" w:cs="Arial"/>
          <w:bCs/>
          <w:sz w:val="22"/>
        </w:rPr>
        <w:t xml:space="preserve"> words.</w:t>
      </w:r>
    </w:p>
    <w:p w:rsidR="00CB3BCE" w:rsidRPr="00564A27" w:rsidRDefault="00CB3BCE" w:rsidP="00CB3BCE">
      <w:pPr>
        <w:numPr>
          <w:ilvl w:val="0"/>
          <w:numId w:val="4"/>
        </w:numPr>
        <w:ind w:left="567" w:hanging="283"/>
        <w:jc w:val="both"/>
        <w:rPr>
          <w:rFonts w:ascii="Arial" w:hAnsi="Arial" w:cs="Arial"/>
          <w:bCs/>
          <w:sz w:val="22"/>
        </w:rPr>
      </w:pPr>
      <w:r w:rsidRPr="00564A27">
        <w:rPr>
          <w:rFonts w:ascii="Arial" w:hAnsi="Arial" w:cs="Arial"/>
          <w:bCs/>
          <w:sz w:val="22"/>
        </w:rPr>
        <w:t>Advise the parent/carer that you will take notes during the discussion to capture all details.</w:t>
      </w:r>
    </w:p>
    <w:p w:rsidR="00CB3BCE" w:rsidRPr="00564A27" w:rsidRDefault="00CB3BCE" w:rsidP="00CB3BCE">
      <w:pPr>
        <w:numPr>
          <w:ilvl w:val="0"/>
          <w:numId w:val="4"/>
        </w:numPr>
        <w:ind w:left="567" w:hanging="283"/>
        <w:jc w:val="both"/>
        <w:rPr>
          <w:rFonts w:ascii="Arial" w:hAnsi="Arial" w:cs="Arial"/>
          <w:bCs/>
          <w:sz w:val="22"/>
        </w:rPr>
      </w:pPr>
      <w:r w:rsidRPr="00564A27">
        <w:rPr>
          <w:rFonts w:ascii="Arial" w:hAnsi="Arial" w:cs="Arial"/>
          <w:bCs/>
          <w:sz w:val="22"/>
        </w:rPr>
        <w:t>Explain to them the information may need to be repeated to authorities or others, such as the Child Safety Officers, the police or child protection. </w:t>
      </w:r>
    </w:p>
    <w:p w:rsidR="00CB3BCE" w:rsidRPr="00564A27" w:rsidRDefault="00CB3BCE" w:rsidP="00CB3BCE">
      <w:pPr>
        <w:numPr>
          <w:ilvl w:val="0"/>
          <w:numId w:val="4"/>
        </w:numPr>
        <w:ind w:left="567" w:hanging="283"/>
        <w:jc w:val="both"/>
        <w:rPr>
          <w:rFonts w:ascii="Arial" w:hAnsi="Arial" w:cs="Arial"/>
          <w:bCs/>
          <w:sz w:val="22"/>
        </w:rPr>
      </w:pPr>
      <w:r w:rsidRPr="00564A27">
        <w:rPr>
          <w:rFonts w:ascii="Arial" w:hAnsi="Arial" w:cs="Arial"/>
          <w:bCs/>
          <w:sz w:val="22"/>
        </w:rPr>
        <w:t>Do not make promises at this early stage, except that you will do your best to keep the child safe. </w:t>
      </w:r>
    </w:p>
    <w:p w:rsidR="00CB3BCE" w:rsidRPr="00564A27" w:rsidRDefault="00CB3BCE" w:rsidP="00CB3BCE">
      <w:pPr>
        <w:numPr>
          <w:ilvl w:val="0"/>
          <w:numId w:val="4"/>
        </w:numPr>
        <w:ind w:left="567" w:hanging="283"/>
        <w:jc w:val="both"/>
        <w:rPr>
          <w:rFonts w:ascii="Arial" w:hAnsi="Arial" w:cs="Arial"/>
          <w:bCs/>
          <w:sz w:val="22"/>
        </w:rPr>
      </w:pPr>
      <w:r w:rsidRPr="00564A27">
        <w:rPr>
          <w:rFonts w:ascii="Arial" w:hAnsi="Arial" w:cs="Arial"/>
          <w:bCs/>
          <w:sz w:val="22"/>
        </w:rPr>
        <w:t>Provide them with an incident report form to complete, or complete it together.</w:t>
      </w:r>
    </w:p>
    <w:p w:rsidR="00CB3BCE" w:rsidRPr="00564A27" w:rsidRDefault="00CB3BCE" w:rsidP="00CB3BCE">
      <w:pPr>
        <w:numPr>
          <w:ilvl w:val="0"/>
          <w:numId w:val="4"/>
        </w:numPr>
        <w:ind w:left="567" w:hanging="283"/>
        <w:jc w:val="both"/>
        <w:rPr>
          <w:rFonts w:ascii="Arial" w:hAnsi="Arial" w:cs="Arial"/>
          <w:bCs/>
          <w:sz w:val="22"/>
        </w:rPr>
      </w:pPr>
      <w:r w:rsidRPr="00564A27">
        <w:rPr>
          <w:rFonts w:ascii="Arial" w:hAnsi="Arial" w:cs="Arial"/>
          <w:bCs/>
          <w:sz w:val="22"/>
        </w:rPr>
        <w:t>Ask them what action they would like to take and advise them of what the immediate next steps will be.</w:t>
      </w:r>
    </w:p>
    <w:p w:rsidR="00CB3BCE" w:rsidRPr="00564A27" w:rsidRDefault="00CB3BCE" w:rsidP="00CB3BCE">
      <w:pPr>
        <w:numPr>
          <w:ilvl w:val="0"/>
          <w:numId w:val="4"/>
        </w:numPr>
        <w:ind w:left="567" w:hanging="283"/>
        <w:jc w:val="both"/>
        <w:rPr>
          <w:rFonts w:ascii="Arial" w:hAnsi="Arial" w:cs="Arial"/>
          <w:bCs/>
          <w:sz w:val="22"/>
        </w:rPr>
      </w:pPr>
      <w:r w:rsidRPr="00564A27">
        <w:rPr>
          <w:rFonts w:ascii="Arial" w:hAnsi="Arial" w:cs="Arial"/>
          <w:bCs/>
          <w:sz w:val="22"/>
        </w:rPr>
        <w:t>Ensure the report is recorded accurately, and that the record is stored securely. </w:t>
      </w:r>
    </w:p>
    <w:p w:rsidR="00CB3BCE" w:rsidRDefault="00CB3BCE" w:rsidP="00CB3BCE">
      <w:pPr>
        <w:ind w:left="284"/>
        <w:jc w:val="both"/>
        <w:rPr>
          <w:rFonts w:ascii="Arial" w:hAnsi="Arial" w:cs="Arial"/>
          <w:bCs/>
          <w:sz w:val="22"/>
        </w:rPr>
      </w:pPr>
    </w:p>
    <w:p w:rsidR="00CB3BCE" w:rsidRPr="00564A27" w:rsidRDefault="00CB3BCE" w:rsidP="00CB3BCE">
      <w:pPr>
        <w:ind w:left="284"/>
        <w:jc w:val="both"/>
        <w:rPr>
          <w:rFonts w:ascii="Arial" w:hAnsi="Arial" w:cs="Arial"/>
          <w:bCs/>
          <w:sz w:val="22"/>
        </w:rPr>
      </w:pPr>
      <w:r w:rsidRPr="00564A27">
        <w:rPr>
          <w:rFonts w:ascii="Arial" w:hAnsi="Arial" w:cs="Arial"/>
          <w:bCs/>
          <w:sz w:val="22"/>
        </w:rPr>
        <w:t>There is awareness that some people from culturally and/or linguistically diverse backgrounds may face barriers in reporting allegations of abuse. For example, people from some cultures may experience anxiety when talking with police, and communicating in English may be a barrier for some. We will be sensitive to these issues and meet people’s needs where possible, such as having an interpreter present (who could be a friend or family member). </w:t>
      </w:r>
    </w:p>
    <w:p w:rsidR="00CB3BCE" w:rsidRDefault="00CB3BCE" w:rsidP="00CB3BCE">
      <w:pPr>
        <w:ind w:left="284"/>
        <w:jc w:val="both"/>
        <w:rPr>
          <w:rFonts w:ascii="Arial" w:hAnsi="Arial" w:cs="Arial"/>
          <w:bCs/>
          <w:sz w:val="22"/>
        </w:rPr>
      </w:pPr>
      <w:r w:rsidRPr="00564A27">
        <w:rPr>
          <w:rFonts w:ascii="Arial" w:hAnsi="Arial" w:cs="Arial"/>
          <w:bCs/>
          <w:sz w:val="22"/>
        </w:rPr>
        <w:t xml:space="preserve">If an allegation of abuse involves an Aboriginal child, we will ensure a culturally appropriate response. We may need to engage with parents of Aboriginal children, local </w:t>
      </w:r>
    </w:p>
    <w:p w:rsidR="00CB3BCE" w:rsidRDefault="00CB3BCE" w:rsidP="00CB3BCE">
      <w:pPr>
        <w:ind w:left="284"/>
        <w:jc w:val="both"/>
        <w:rPr>
          <w:rFonts w:ascii="Arial" w:hAnsi="Arial" w:cs="Arial"/>
          <w:bCs/>
          <w:sz w:val="22"/>
        </w:rPr>
      </w:pPr>
    </w:p>
    <w:p w:rsidR="00CB3BCE" w:rsidRDefault="00CB3BCE" w:rsidP="00CB3BCE">
      <w:pPr>
        <w:ind w:left="284"/>
        <w:jc w:val="both"/>
        <w:rPr>
          <w:rFonts w:ascii="Arial" w:hAnsi="Arial" w:cs="Arial"/>
          <w:bCs/>
          <w:sz w:val="22"/>
        </w:rPr>
      </w:pPr>
    </w:p>
    <w:p w:rsidR="00CB3BCE" w:rsidRDefault="00CB3BCE" w:rsidP="00CB3BCE">
      <w:pPr>
        <w:ind w:left="284"/>
        <w:jc w:val="both"/>
        <w:rPr>
          <w:rFonts w:ascii="Arial" w:hAnsi="Arial" w:cs="Arial"/>
          <w:bCs/>
          <w:sz w:val="22"/>
        </w:rPr>
      </w:pPr>
    </w:p>
    <w:p w:rsidR="00CB3BCE" w:rsidRDefault="00CB3BCE" w:rsidP="00CB3BCE">
      <w:pPr>
        <w:ind w:left="284"/>
        <w:jc w:val="both"/>
        <w:rPr>
          <w:rFonts w:ascii="Arial" w:hAnsi="Arial" w:cs="Arial"/>
          <w:bCs/>
          <w:sz w:val="22"/>
        </w:rPr>
      </w:pPr>
    </w:p>
    <w:p w:rsidR="00CB3BCE" w:rsidRPr="00564A27" w:rsidRDefault="00CB3BCE" w:rsidP="00CB3BCE">
      <w:pPr>
        <w:ind w:left="284"/>
        <w:jc w:val="both"/>
        <w:rPr>
          <w:rFonts w:ascii="Arial" w:hAnsi="Arial" w:cs="Arial"/>
          <w:bCs/>
          <w:sz w:val="22"/>
        </w:rPr>
      </w:pPr>
      <w:r w:rsidRPr="00564A27">
        <w:rPr>
          <w:rFonts w:ascii="Arial" w:hAnsi="Arial" w:cs="Arial"/>
          <w:bCs/>
          <w:sz w:val="22"/>
        </w:rPr>
        <w:t>Aboriginal communities or an Aboriginal community controlled organisations to review policies and procedures.</w:t>
      </w:r>
    </w:p>
    <w:p w:rsidR="00CB3BCE" w:rsidRDefault="00CB3BCE" w:rsidP="00CB3BCE">
      <w:pPr>
        <w:tabs>
          <w:tab w:val="left" w:pos="284"/>
        </w:tabs>
        <w:spacing w:before="120"/>
        <w:ind w:left="284"/>
        <w:jc w:val="both"/>
        <w:rPr>
          <w:rFonts w:ascii="Arial" w:hAnsi="Arial" w:cs="Arial"/>
          <w:bCs/>
          <w:sz w:val="22"/>
        </w:rPr>
      </w:pPr>
      <w:r w:rsidRPr="00564A27">
        <w:rPr>
          <w:rFonts w:ascii="Arial" w:hAnsi="Arial" w:cs="Arial"/>
          <w:bCs/>
          <w:sz w:val="22"/>
        </w:rPr>
        <w:t>Some children with a disability may experience barriers disclosing an incident. For example, children with hearing or cognitive impairments may need support to help them explain the incident, including through sign language interpreters. Advice on </w:t>
      </w:r>
      <w:hyperlink r:id="rId8" w:history="1">
        <w:r w:rsidRPr="00564A27">
          <w:rPr>
            <w:rStyle w:val="Hyperlink"/>
            <w:rFonts w:ascii="Arial" w:hAnsi="Arial" w:cs="Arial"/>
            <w:bCs/>
            <w:sz w:val="22"/>
          </w:rPr>
          <w:t>communicating with people with a disability</w:t>
        </w:r>
      </w:hyperlink>
      <w:r w:rsidRPr="00564A27">
        <w:rPr>
          <w:rFonts w:ascii="Arial" w:hAnsi="Arial" w:cs="Arial"/>
          <w:bCs/>
          <w:sz w:val="22"/>
        </w:rPr>
        <w:t> can be found on the Department of Health and Human Serviceswebsite &lt;</w:t>
      </w:r>
      <w:hyperlink r:id="rId9" w:history="1">
        <w:r w:rsidRPr="00564A27">
          <w:rPr>
            <w:rStyle w:val="Hyperlink"/>
            <w:rFonts w:ascii="Arial" w:hAnsi="Arial" w:cs="Arial"/>
            <w:bCs/>
            <w:sz w:val="22"/>
          </w:rPr>
          <w:t>www.dhs.vic.gov.au/for-business-and-community/community-involvement/people-with-a-disability-in-the-community/communicate-and-consult-with-people-with-a-disability/communication-with-people-with-disabilities</w:t>
        </w:r>
      </w:hyperlink>
      <w:r w:rsidRPr="00564A27">
        <w:rPr>
          <w:rFonts w:ascii="Arial" w:hAnsi="Arial" w:cs="Arial"/>
          <w:bCs/>
          <w:sz w:val="22"/>
        </w:rPr>
        <w:t>&gt;.</w:t>
      </w:r>
    </w:p>
    <w:p w:rsidR="00CB3BCE" w:rsidRPr="00564A27" w:rsidRDefault="00CB3BCE" w:rsidP="00CB3BCE">
      <w:pPr>
        <w:tabs>
          <w:tab w:val="left" w:pos="284"/>
        </w:tabs>
        <w:ind w:left="284"/>
        <w:jc w:val="both"/>
        <w:rPr>
          <w:rFonts w:ascii="Arial" w:hAnsi="Arial" w:cs="Arial"/>
          <w:bCs/>
          <w:sz w:val="22"/>
        </w:rPr>
      </w:pPr>
    </w:p>
    <w:p w:rsidR="00CB3BCE" w:rsidRPr="00564A27" w:rsidRDefault="00CB3BCE" w:rsidP="00CB3BCE">
      <w:pPr>
        <w:tabs>
          <w:tab w:val="left" w:pos="284"/>
        </w:tabs>
        <w:ind w:left="284"/>
        <w:jc w:val="center"/>
        <w:rPr>
          <w:rFonts w:ascii="Arial" w:hAnsi="Arial" w:cs="Arial"/>
          <w:bCs/>
          <w:sz w:val="22"/>
        </w:rPr>
      </w:pPr>
      <w:r w:rsidRPr="00564A27">
        <w:rPr>
          <w:rFonts w:ascii="Arial" w:hAnsi="Arial" w:cs="Arial"/>
          <w:b/>
          <w:bCs/>
          <w:color w:val="FF0000"/>
          <w:sz w:val="22"/>
          <w:u w:val="single"/>
        </w:rPr>
        <w:t>If you believe a child is at immediate risk of abuse phone 000</w:t>
      </w:r>
      <w:r w:rsidRPr="00564A27">
        <w:rPr>
          <w:rFonts w:ascii="Arial" w:hAnsi="Arial" w:cs="Arial"/>
          <w:bCs/>
          <w:sz w:val="22"/>
        </w:rPr>
        <w:t>.</w:t>
      </w:r>
    </w:p>
    <w:p w:rsidR="00CB3BCE" w:rsidRDefault="00CB3BCE" w:rsidP="00CB3BCE">
      <w:pPr>
        <w:tabs>
          <w:tab w:val="left" w:pos="284"/>
        </w:tabs>
        <w:ind w:left="284"/>
        <w:jc w:val="both"/>
        <w:rPr>
          <w:rFonts w:ascii="Arial" w:hAnsi="Arial" w:cs="Arial"/>
          <w:bCs/>
          <w:sz w:val="22"/>
        </w:rPr>
      </w:pPr>
    </w:p>
    <w:p w:rsidR="00CB3BCE" w:rsidRPr="00564A27" w:rsidRDefault="00CB3BCE" w:rsidP="00CB3BCE">
      <w:pPr>
        <w:tabs>
          <w:tab w:val="left" w:pos="284"/>
        </w:tabs>
        <w:ind w:left="284"/>
        <w:jc w:val="both"/>
        <w:rPr>
          <w:rFonts w:ascii="Arial" w:hAnsi="Arial" w:cs="Arial"/>
          <w:b/>
          <w:bCs/>
          <w:sz w:val="22"/>
        </w:rPr>
      </w:pPr>
      <w:r w:rsidRPr="00564A27">
        <w:rPr>
          <w:rFonts w:ascii="Arial" w:hAnsi="Arial" w:cs="Arial"/>
          <w:b/>
          <w:bCs/>
          <w:sz w:val="22"/>
        </w:rPr>
        <w:t>Legal responsibilities</w:t>
      </w:r>
    </w:p>
    <w:p w:rsidR="00CB3BCE" w:rsidRPr="00564A27" w:rsidRDefault="00CB3BCE" w:rsidP="00CB3BCE">
      <w:pPr>
        <w:tabs>
          <w:tab w:val="left" w:pos="284"/>
        </w:tabs>
        <w:ind w:left="284"/>
        <w:jc w:val="both"/>
        <w:rPr>
          <w:rFonts w:ascii="Arial" w:hAnsi="Arial" w:cs="Arial"/>
          <w:bCs/>
          <w:sz w:val="22"/>
        </w:rPr>
      </w:pPr>
      <w:r w:rsidRPr="00564A27">
        <w:rPr>
          <w:rFonts w:ascii="Arial" w:hAnsi="Arial" w:cs="Arial"/>
          <w:bCs/>
          <w:sz w:val="22"/>
        </w:rPr>
        <w:t xml:space="preserve">While the child safe standards focus on organisations, every adult who reasonably believes that a child has been abused, whether at </w:t>
      </w:r>
      <w:r>
        <w:rPr>
          <w:rFonts w:ascii="Arial" w:hAnsi="Arial" w:cs="Arial"/>
          <w:bCs/>
          <w:sz w:val="22"/>
        </w:rPr>
        <w:t>Cockatoo</w:t>
      </w:r>
      <w:r w:rsidRPr="00564A27">
        <w:rPr>
          <w:rFonts w:ascii="Arial" w:hAnsi="Arial" w:cs="Arial"/>
          <w:bCs/>
          <w:sz w:val="22"/>
        </w:rPr>
        <w:t xml:space="preserve"> Primary School or not, has an obligation to report that belief to authorities. </w:t>
      </w:r>
    </w:p>
    <w:p w:rsidR="00CB3BCE" w:rsidRPr="00564A27" w:rsidRDefault="00CB3BCE" w:rsidP="00CB3BCE">
      <w:pPr>
        <w:tabs>
          <w:tab w:val="left" w:pos="284"/>
        </w:tabs>
        <w:ind w:left="284"/>
        <w:jc w:val="both"/>
        <w:rPr>
          <w:rFonts w:ascii="Arial" w:hAnsi="Arial" w:cs="Arial"/>
          <w:bCs/>
          <w:sz w:val="22"/>
        </w:rPr>
      </w:pPr>
      <w:r w:rsidRPr="00564A27">
        <w:rPr>
          <w:rFonts w:ascii="Arial" w:hAnsi="Arial" w:cs="Arial"/>
          <w:bCs/>
          <w:sz w:val="22"/>
        </w:rPr>
        <w:t>The failure to disclose criminal offence requires all adults (aged 18 and over) who hold a reasonable belief that a sexual offence has been committed in Victoria by an adult against a child under 16 to disclose that information to police (unless they have a reasonable excuse not to, for example because they fear for their safety or the safety of another). </w:t>
      </w:r>
    </w:p>
    <w:p w:rsidR="00CB3BCE" w:rsidRPr="00564A27" w:rsidRDefault="00CB3BCE" w:rsidP="00CB3BCE">
      <w:pPr>
        <w:tabs>
          <w:tab w:val="left" w:pos="284"/>
        </w:tabs>
        <w:ind w:left="284"/>
        <w:jc w:val="both"/>
        <w:rPr>
          <w:rFonts w:ascii="Arial" w:hAnsi="Arial" w:cs="Arial"/>
          <w:bCs/>
          <w:sz w:val="22"/>
        </w:rPr>
      </w:pPr>
      <w:r w:rsidRPr="00564A27">
        <w:rPr>
          <w:rFonts w:ascii="Arial" w:hAnsi="Arial" w:cs="Arial"/>
          <w:bCs/>
          <w:sz w:val="22"/>
        </w:rPr>
        <w:t>More information about </w:t>
      </w:r>
      <w:hyperlink r:id="rId10" w:history="1">
        <w:r w:rsidRPr="00564A27">
          <w:rPr>
            <w:rStyle w:val="Hyperlink"/>
            <w:rFonts w:ascii="Arial" w:hAnsi="Arial" w:cs="Arial"/>
            <w:bCs/>
            <w:sz w:val="22"/>
          </w:rPr>
          <w:t>failure to disclose</w:t>
        </w:r>
      </w:hyperlink>
      <w:r w:rsidRPr="00564A27">
        <w:rPr>
          <w:rFonts w:ascii="Arial" w:hAnsi="Arial" w:cs="Arial"/>
          <w:bCs/>
          <w:sz w:val="22"/>
        </w:rPr>
        <w:t> is available on the Department of Justice and Regulation website &lt;</w:t>
      </w:r>
      <w:hyperlink r:id="rId11" w:history="1">
        <w:r w:rsidRPr="00564A27">
          <w:rPr>
            <w:rStyle w:val="Hyperlink"/>
            <w:rFonts w:ascii="Arial" w:hAnsi="Arial" w:cs="Arial"/>
            <w:bCs/>
            <w:sz w:val="22"/>
          </w:rPr>
          <w:t>www.justice.vic.gov.au/home/safer+communities/protecting+children+and+families/failure+to+disclose+offence</w:t>
        </w:r>
      </w:hyperlink>
      <w:r w:rsidRPr="00564A27">
        <w:rPr>
          <w:rFonts w:ascii="Arial" w:hAnsi="Arial" w:cs="Arial"/>
          <w:bCs/>
          <w:sz w:val="22"/>
        </w:rPr>
        <w:t>&gt;</w:t>
      </w:r>
    </w:p>
    <w:p w:rsidR="00CB3BCE" w:rsidRPr="00564A27" w:rsidRDefault="00CB3BCE" w:rsidP="00CB3BCE">
      <w:pPr>
        <w:tabs>
          <w:tab w:val="left" w:pos="284"/>
        </w:tabs>
        <w:ind w:left="284"/>
        <w:jc w:val="both"/>
        <w:rPr>
          <w:rFonts w:ascii="Arial" w:hAnsi="Arial" w:cs="Arial"/>
          <w:bCs/>
          <w:sz w:val="22"/>
        </w:rPr>
      </w:pPr>
      <w:r w:rsidRPr="00564A27">
        <w:rPr>
          <w:rFonts w:ascii="Arial" w:hAnsi="Arial" w:cs="Arial"/>
          <w:bCs/>
          <w:sz w:val="22"/>
        </w:rPr>
        <w:t>While failure to disclose only covers child sexual abuse, all adults should report other forms of child abuse to authorities. Failure to disclose does not change mandatory reporting responsibilities.</w:t>
      </w:r>
    </w:p>
    <w:p w:rsidR="00CB3BCE" w:rsidRPr="00564A27" w:rsidRDefault="00CB3BCE" w:rsidP="00CB3BCE">
      <w:pPr>
        <w:tabs>
          <w:tab w:val="left" w:pos="284"/>
        </w:tabs>
        <w:ind w:left="284"/>
        <w:jc w:val="both"/>
        <w:rPr>
          <w:rFonts w:ascii="Arial" w:hAnsi="Arial" w:cs="Arial"/>
          <w:bCs/>
          <w:sz w:val="22"/>
        </w:rPr>
      </w:pPr>
      <w:r w:rsidRPr="00564A27">
        <w:rPr>
          <w:rFonts w:ascii="Arial" w:hAnsi="Arial" w:cs="Arial"/>
          <w:bCs/>
          <w:sz w:val="22"/>
        </w:rPr>
        <w:t>More information about </w:t>
      </w:r>
      <w:hyperlink r:id="rId12" w:history="1">
        <w:r w:rsidRPr="00564A27">
          <w:rPr>
            <w:rStyle w:val="Hyperlink"/>
            <w:rFonts w:ascii="Arial" w:hAnsi="Arial" w:cs="Arial"/>
            <w:bCs/>
            <w:sz w:val="22"/>
          </w:rPr>
          <w:t>mandatory reporting</w:t>
        </w:r>
      </w:hyperlink>
      <w:r w:rsidRPr="00564A27">
        <w:rPr>
          <w:rFonts w:ascii="Arial" w:hAnsi="Arial" w:cs="Arial"/>
          <w:bCs/>
          <w:sz w:val="22"/>
        </w:rPr>
        <w:t> is available in the </w:t>
      </w:r>
      <w:r w:rsidRPr="00564A27">
        <w:rPr>
          <w:rFonts w:ascii="Arial" w:hAnsi="Arial" w:cs="Arial"/>
          <w:bCs/>
          <w:i/>
          <w:iCs/>
          <w:sz w:val="22"/>
        </w:rPr>
        <w:t>Child protection manual</w:t>
      </w:r>
      <w:r w:rsidRPr="00564A27">
        <w:rPr>
          <w:rFonts w:ascii="Arial" w:hAnsi="Arial" w:cs="Arial"/>
          <w:bCs/>
          <w:sz w:val="22"/>
        </w:rPr>
        <w:t> &lt;</w:t>
      </w:r>
      <w:hyperlink r:id="rId13" w:history="1">
        <w:r w:rsidRPr="00564A27">
          <w:rPr>
            <w:rStyle w:val="Hyperlink"/>
            <w:rFonts w:ascii="Arial" w:hAnsi="Arial" w:cs="Arial"/>
            <w:bCs/>
            <w:sz w:val="22"/>
          </w:rPr>
          <w:t>www.cpmanual.vic.gov.au/advice-and-protocols/advice/intake/mandatory-reporting</w:t>
        </w:r>
      </w:hyperlink>
      <w:r w:rsidRPr="00564A27">
        <w:rPr>
          <w:rFonts w:ascii="Arial" w:hAnsi="Arial" w:cs="Arial"/>
          <w:bCs/>
          <w:sz w:val="22"/>
        </w:rPr>
        <w:t>&gt;.</w:t>
      </w:r>
    </w:p>
    <w:p w:rsidR="00CB3BCE" w:rsidRDefault="00CB3BCE" w:rsidP="00CB3BCE">
      <w:pPr>
        <w:tabs>
          <w:tab w:val="left" w:pos="284"/>
        </w:tabs>
        <w:ind w:left="284"/>
        <w:jc w:val="both"/>
        <w:rPr>
          <w:rFonts w:ascii="Arial" w:hAnsi="Arial" w:cs="Arial"/>
          <w:bCs/>
          <w:sz w:val="22"/>
        </w:rPr>
      </w:pPr>
    </w:p>
    <w:p w:rsidR="00CB3BCE" w:rsidRPr="00564A27" w:rsidRDefault="00CB3BCE" w:rsidP="00CB3BCE">
      <w:pPr>
        <w:tabs>
          <w:tab w:val="left" w:pos="284"/>
        </w:tabs>
        <w:ind w:left="284"/>
        <w:jc w:val="both"/>
        <w:rPr>
          <w:rFonts w:ascii="Arial" w:hAnsi="Arial" w:cs="Arial"/>
          <w:bCs/>
          <w:sz w:val="22"/>
        </w:rPr>
      </w:pPr>
      <w:r w:rsidRPr="00564A27">
        <w:rPr>
          <w:rFonts w:ascii="Arial" w:hAnsi="Arial" w:cs="Arial"/>
          <w:b/>
          <w:bCs/>
          <w:sz w:val="22"/>
        </w:rPr>
        <w:t>Mandatory reporters</w:t>
      </w:r>
      <w:r w:rsidRPr="00564A27">
        <w:rPr>
          <w:rFonts w:ascii="Arial" w:hAnsi="Arial" w:cs="Arial"/>
          <w:bCs/>
          <w:sz w:val="22"/>
        </w:rPr>
        <w:t> (doctors, nurses, midwives, teachers (including early childhood teachers), principals and police) must report to child protection if they believe on reasonable grounds that a child is in need of protection from physical injury or sexual abuse. </w:t>
      </w:r>
    </w:p>
    <w:p w:rsidR="00CB3BCE" w:rsidRPr="00564A27" w:rsidRDefault="00CB3BCE" w:rsidP="00CB3BCE">
      <w:pPr>
        <w:tabs>
          <w:tab w:val="left" w:pos="284"/>
        </w:tabs>
        <w:ind w:left="284"/>
        <w:jc w:val="both"/>
        <w:rPr>
          <w:rFonts w:ascii="Arial" w:hAnsi="Arial" w:cs="Arial"/>
          <w:bCs/>
          <w:sz w:val="22"/>
        </w:rPr>
      </w:pPr>
      <w:r w:rsidRPr="00564A27">
        <w:rPr>
          <w:rFonts w:ascii="Arial" w:hAnsi="Arial" w:cs="Arial"/>
          <w:bCs/>
          <w:sz w:val="22"/>
        </w:rPr>
        <w:t>See the Department of Health and Human Services website for information about </w:t>
      </w:r>
      <w:hyperlink r:id="rId14" w:history="1">
        <w:r w:rsidRPr="00564A27">
          <w:rPr>
            <w:rStyle w:val="Hyperlink"/>
            <w:rFonts w:ascii="Arial" w:hAnsi="Arial" w:cs="Arial"/>
            <w:bCs/>
            <w:sz w:val="22"/>
          </w:rPr>
          <w:t>how to make a report to child protection</w:t>
        </w:r>
      </w:hyperlink>
      <w:r w:rsidRPr="00564A27">
        <w:rPr>
          <w:rFonts w:ascii="Arial" w:hAnsi="Arial" w:cs="Arial"/>
          <w:bCs/>
          <w:sz w:val="22"/>
        </w:rPr>
        <w:t>&lt;</w:t>
      </w:r>
      <w:hyperlink r:id="rId15" w:history="1">
        <w:r w:rsidRPr="00564A27">
          <w:rPr>
            <w:rStyle w:val="Hyperlink"/>
            <w:rFonts w:ascii="Arial" w:hAnsi="Arial" w:cs="Arial"/>
            <w:bCs/>
            <w:sz w:val="22"/>
          </w:rPr>
          <w:t>www.dhs.vic.gov.au/about-the-department/documents-and-resources/reports-publications/guide-to-making-a-report-to-child-protection-or-child-first</w:t>
        </w:r>
      </w:hyperlink>
      <w:r w:rsidRPr="00564A27">
        <w:rPr>
          <w:rFonts w:ascii="Arial" w:hAnsi="Arial" w:cs="Arial"/>
          <w:bCs/>
          <w:sz w:val="22"/>
        </w:rPr>
        <w:t>&gt;.</w:t>
      </w:r>
    </w:p>
    <w:p w:rsidR="00CB3BCE" w:rsidRDefault="00CB3BCE" w:rsidP="00CB3BCE">
      <w:pPr>
        <w:tabs>
          <w:tab w:val="left" w:pos="284"/>
        </w:tabs>
        <w:ind w:left="284"/>
        <w:jc w:val="both"/>
        <w:rPr>
          <w:rFonts w:ascii="Arial" w:hAnsi="Arial" w:cs="Arial"/>
          <w:bCs/>
          <w:sz w:val="22"/>
        </w:rPr>
      </w:pPr>
    </w:p>
    <w:p w:rsidR="00CB3BCE" w:rsidRDefault="00CB3BCE" w:rsidP="00CB3BCE">
      <w:pPr>
        <w:tabs>
          <w:tab w:val="left" w:pos="284"/>
        </w:tabs>
        <w:ind w:left="284"/>
        <w:jc w:val="both"/>
        <w:rPr>
          <w:rFonts w:ascii="Arial" w:hAnsi="Arial" w:cs="Arial"/>
          <w:bCs/>
          <w:sz w:val="22"/>
        </w:rPr>
      </w:pPr>
    </w:p>
    <w:p w:rsidR="00CB3BCE" w:rsidRDefault="00CB3BCE" w:rsidP="00CB3BCE">
      <w:pPr>
        <w:tabs>
          <w:tab w:val="left" w:pos="284"/>
        </w:tabs>
        <w:ind w:left="284"/>
        <w:jc w:val="both"/>
        <w:rPr>
          <w:rFonts w:ascii="Arial" w:hAnsi="Arial" w:cs="Arial"/>
          <w:bCs/>
          <w:sz w:val="22"/>
        </w:rPr>
      </w:pPr>
    </w:p>
    <w:p w:rsidR="00CB3BCE" w:rsidRDefault="00CB3BCE" w:rsidP="00CB3BCE">
      <w:pPr>
        <w:tabs>
          <w:tab w:val="left" w:pos="284"/>
        </w:tabs>
        <w:ind w:left="284"/>
        <w:jc w:val="both"/>
        <w:rPr>
          <w:rFonts w:ascii="Arial" w:hAnsi="Arial" w:cs="Arial"/>
          <w:bCs/>
          <w:sz w:val="22"/>
        </w:rPr>
      </w:pPr>
    </w:p>
    <w:p w:rsidR="00CB3BCE" w:rsidRDefault="00CB3BCE" w:rsidP="00CB3BCE">
      <w:pPr>
        <w:tabs>
          <w:tab w:val="left" w:pos="284"/>
        </w:tabs>
        <w:ind w:left="284"/>
        <w:jc w:val="both"/>
        <w:rPr>
          <w:rFonts w:ascii="Arial" w:hAnsi="Arial" w:cs="Arial"/>
          <w:bCs/>
          <w:sz w:val="22"/>
        </w:rPr>
      </w:pPr>
    </w:p>
    <w:p w:rsidR="00CB3BCE" w:rsidRDefault="00CB3BCE" w:rsidP="00CB3BCE">
      <w:pPr>
        <w:tabs>
          <w:tab w:val="left" w:pos="284"/>
        </w:tabs>
        <w:ind w:left="284"/>
        <w:jc w:val="both"/>
        <w:rPr>
          <w:rFonts w:ascii="Arial" w:hAnsi="Arial" w:cs="Arial"/>
          <w:bCs/>
          <w:sz w:val="22"/>
        </w:rPr>
      </w:pPr>
    </w:p>
    <w:p w:rsidR="00CB3BCE" w:rsidRDefault="00CB3BCE" w:rsidP="00CB3BCE">
      <w:pPr>
        <w:tabs>
          <w:tab w:val="left" w:pos="284"/>
        </w:tabs>
        <w:ind w:left="284"/>
        <w:jc w:val="both"/>
        <w:rPr>
          <w:rFonts w:ascii="Arial" w:hAnsi="Arial" w:cs="Arial"/>
          <w:bCs/>
          <w:sz w:val="22"/>
        </w:rPr>
      </w:pPr>
    </w:p>
    <w:p w:rsidR="00CB3BCE" w:rsidRPr="00564A27" w:rsidRDefault="00CB3BCE" w:rsidP="00CB3BCE">
      <w:pPr>
        <w:tabs>
          <w:tab w:val="left" w:pos="284"/>
        </w:tabs>
        <w:ind w:left="284"/>
        <w:jc w:val="both"/>
        <w:rPr>
          <w:rFonts w:ascii="Arial" w:hAnsi="Arial" w:cs="Arial"/>
          <w:bCs/>
          <w:sz w:val="22"/>
        </w:rPr>
      </w:pPr>
      <w:r>
        <w:rPr>
          <w:rFonts w:ascii="Arial" w:hAnsi="Arial" w:cs="Arial"/>
          <w:bCs/>
          <w:sz w:val="22"/>
        </w:rPr>
        <w:t xml:space="preserve">The </w:t>
      </w:r>
      <w:r w:rsidRPr="00564A27">
        <w:rPr>
          <w:rFonts w:ascii="Arial" w:hAnsi="Arial" w:cs="Arial"/>
          <w:b/>
          <w:bCs/>
          <w:sz w:val="22"/>
        </w:rPr>
        <w:t>failure to protect</w:t>
      </w:r>
      <w:r>
        <w:rPr>
          <w:rFonts w:ascii="Arial" w:hAnsi="Arial" w:cs="Arial"/>
          <w:b/>
          <w:bCs/>
          <w:sz w:val="22"/>
        </w:rPr>
        <w:t xml:space="preserve"> </w:t>
      </w:r>
      <w:r w:rsidRPr="00564A27">
        <w:rPr>
          <w:rFonts w:ascii="Arial" w:hAnsi="Arial" w:cs="Arial"/>
          <w:bCs/>
          <w:sz w:val="22"/>
        </w:rPr>
        <w:t xml:space="preserve">criminal offence (commenced on 1 July 2015) applies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w:t>
      </w:r>
      <w:proofErr w:type="gramStart"/>
      <w:r w:rsidRPr="00564A27">
        <w:rPr>
          <w:rFonts w:ascii="Arial" w:hAnsi="Arial" w:cs="Arial"/>
          <w:bCs/>
          <w:sz w:val="22"/>
        </w:rPr>
        <w:t>have the power</w:t>
      </w:r>
      <w:proofErr w:type="gramEnd"/>
      <w:r w:rsidRPr="00564A27">
        <w:rPr>
          <w:rFonts w:ascii="Arial" w:hAnsi="Arial" w:cs="Arial"/>
          <w:bCs/>
          <w:sz w:val="22"/>
        </w:rPr>
        <w:t xml:space="preserve"> or responsibility to reduce or remove the risk, but negligently failed to do so. </w:t>
      </w:r>
    </w:p>
    <w:p w:rsidR="00CB3BCE" w:rsidRPr="008B5264" w:rsidRDefault="00CB3BCE" w:rsidP="00CB3BCE">
      <w:pPr>
        <w:tabs>
          <w:tab w:val="left" w:pos="284"/>
        </w:tabs>
        <w:ind w:left="284"/>
        <w:jc w:val="both"/>
        <w:rPr>
          <w:rFonts w:ascii="Arial" w:hAnsi="Arial" w:cs="Arial"/>
          <w:sz w:val="16"/>
          <w:szCs w:val="16"/>
        </w:rPr>
      </w:pPr>
    </w:p>
    <w:p w:rsidR="00CB3BCE" w:rsidRPr="0074078C" w:rsidRDefault="00CB3BCE" w:rsidP="00CB3BCE">
      <w:pPr>
        <w:spacing w:before="160"/>
        <w:ind w:left="284"/>
        <w:jc w:val="both"/>
        <w:rPr>
          <w:rFonts w:ascii="Arial" w:hAnsi="Arial" w:cs="Arial"/>
          <w:sz w:val="22"/>
          <w:szCs w:val="22"/>
        </w:rPr>
      </w:pPr>
      <w:r w:rsidRPr="00F3555B">
        <w:rPr>
          <w:rFonts w:ascii="Arial" w:hAnsi="Arial" w:cs="Arial"/>
          <w:b/>
          <w:sz w:val="22"/>
          <w:szCs w:val="22"/>
        </w:rPr>
        <w:t>Principal:</w:t>
      </w:r>
      <w:r w:rsidRPr="0074078C">
        <w:rPr>
          <w:rFonts w:ascii="Arial" w:hAnsi="Arial" w:cs="Arial"/>
          <w:sz w:val="22"/>
          <w:szCs w:val="22"/>
        </w:rPr>
        <w:t xml:space="preserve"> </w:t>
      </w:r>
      <w:r>
        <w:rPr>
          <w:rFonts w:ascii="Arial" w:hAnsi="Arial" w:cs="Arial"/>
          <w:sz w:val="22"/>
          <w:szCs w:val="22"/>
        </w:rPr>
        <w:t>Darrelyn Boucher</w:t>
      </w:r>
      <w:r w:rsidRPr="0074078C">
        <w:rPr>
          <w:rFonts w:ascii="Arial" w:hAnsi="Arial" w:cs="Arial"/>
          <w:sz w:val="22"/>
          <w:szCs w:val="22"/>
        </w:rPr>
        <w:t xml:space="preserve"> </w:t>
      </w:r>
    </w:p>
    <w:p w:rsidR="00CB3BCE" w:rsidRPr="0074078C" w:rsidRDefault="00CB3BCE" w:rsidP="00CB3BCE">
      <w:pPr>
        <w:tabs>
          <w:tab w:val="left" w:pos="284"/>
        </w:tabs>
        <w:spacing w:before="160"/>
        <w:ind w:left="284"/>
        <w:jc w:val="both"/>
        <w:rPr>
          <w:rFonts w:ascii="Arial" w:hAnsi="Arial" w:cs="Arial"/>
          <w:sz w:val="22"/>
          <w:szCs w:val="22"/>
        </w:rPr>
      </w:pPr>
      <w:r w:rsidRPr="00F3555B">
        <w:rPr>
          <w:rFonts w:ascii="Arial" w:hAnsi="Arial" w:cs="Arial"/>
          <w:b/>
          <w:sz w:val="22"/>
          <w:szCs w:val="22"/>
        </w:rPr>
        <w:t>School Council President:</w:t>
      </w:r>
      <w:r>
        <w:rPr>
          <w:rFonts w:ascii="Arial" w:hAnsi="Arial" w:cs="Arial"/>
          <w:sz w:val="22"/>
          <w:szCs w:val="22"/>
        </w:rPr>
        <w:t xml:space="preserve"> Andrew Hutchinson</w:t>
      </w:r>
    </w:p>
    <w:p w:rsidR="00CB3BCE" w:rsidRPr="0074078C" w:rsidRDefault="00CB3BCE" w:rsidP="00CB3BCE">
      <w:pPr>
        <w:tabs>
          <w:tab w:val="left" w:pos="284"/>
        </w:tabs>
        <w:spacing w:before="160"/>
        <w:ind w:left="284"/>
        <w:jc w:val="both"/>
        <w:rPr>
          <w:rFonts w:ascii="Arial" w:hAnsi="Arial" w:cs="Arial"/>
          <w:sz w:val="22"/>
          <w:szCs w:val="22"/>
        </w:rPr>
      </w:pPr>
      <w:r w:rsidRPr="0074078C">
        <w:rPr>
          <w:rFonts w:ascii="Arial" w:hAnsi="Arial" w:cs="Arial"/>
          <w:sz w:val="22"/>
          <w:szCs w:val="22"/>
        </w:rPr>
        <w:t xml:space="preserve">Date ratified at School Council: </w:t>
      </w:r>
      <w:r>
        <w:rPr>
          <w:rFonts w:ascii="Arial" w:hAnsi="Arial" w:cs="Arial"/>
          <w:sz w:val="22"/>
          <w:szCs w:val="22"/>
        </w:rPr>
        <w:t>July 2016</w:t>
      </w:r>
    </w:p>
    <w:p w:rsidR="00CB3BCE" w:rsidRPr="00743941" w:rsidRDefault="00A6628D" w:rsidP="00CB3BCE">
      <w:pPr>
        <w:tabs>
          <w:tab w:val="left" w:pos="284"/>
        </w:tabs>
        <w:spacing w:before="160"/>
        <w:ind w:left="284"/>
        <w:jc w:val="both"/>
        <w:rPr>
          <w:rFonts w:ascii="Arial" w:hAnsi="Arial" w:cs="Arial"/>
        </w:rPr>
      </w:pPr>
      <w:r>
        <w:rPr>
          <w:rFonts w:ascii="Arial" w:hAnsi="Arial" w:cs="Arial"/>
          <w:sz w:val="22"/>
          <w:szCs w:val="22"/>
        </w:rPr>
        <w:t>Two</w:t>
      </w:r>
      <w:r w:rsidR="00CB3BCE" w:rsidRPr="0074078C">
        <w:rPr>
          <w:rFonts w:ascii="Arial" w:hAnsi="Arial" w:cs="Arial"/>
          <w:sz w:val="22"/>
          <w:szCs w:val="22"/>
        </w:rPr>
        <w:t xml:space="preserve"> Year Cyclic Date for Review</w:t>
      </w:r>
      <w:r w:rsidR="00CB3BCE" w:rsidRPr="00F13FD4">
        <w:rPr>
          <w:rFonts w:ascii="Arial" w:hAnsi="Arial" w:cs="Arial"/>
          <w:sz w:val="20"/>
        </w:rPr>
        <w:t>:</w:t>
      </w:r>
      <w:r w:rsidR="00CB3BCE">
        <w:rPr>
          <w:rFonts w:ascii="Arial" w:hAnsi="Arial" w:cs="Arial"/>
          <w:sz w:val="20"/>
        </w:rPr>
        <w:t xml:space="preserve"> </w:t>
      </w:r>
      <w:r w:rsidR="00CB3BCE">
        <w:rPr>
          <w:rFonts w:ascii="Arial" w:hAnsi="Arial" w:cs="Arial"/>
          <w:sz w:val="22"/>
        </w:rPr>
        <w:t>July</w:t>
      </w:r>
      <w:r w:rsidR="00CB3BCE" w:rsidRPr="001D0DE8">
        <w:rPr>
          <w:rFonts w:ascii="Arial" w:hAnsi="Arial" w:cs="Arial"/>
          <w:sz w:val="22"/>
        </w:rPr>
        <w:t xml:space="preserve"> 201</w:t>
      </w:r>
      <w:r>
        <w:rPr>
          <w:rFonts w:ascii="Arial" w:hAnsi="Arial" w:cs="Arial"/>
          <w:sz w:val="22"/>
        </w:rPr>
        <w:t>8</w:t>
      </w:r>
    </w:p>
    <w:p w:rsidR="0084320D" w:rsidRPr="006154CE" w:rsidRDefault="0084320D">
      <w:pPr>
        <w:jc w:val="both"/>
        <w:rPr>
          <w:rFonts w:ascii="Arial" w:hAnsi="Arial" w:cs="Arial"/>
        </w:rPr>
      </w:pPr>
    </w:p>
    <w:sectPr w:rsidR="0084320D" w:rsidRPr="006154C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16" w:rsidRDefault="00472F16" w:rsidP="0024157B">
      <w:r>
        <w:separator/>
      </w:r>
    </w:p>
  </w:endnote>
  <w:endnote w:type="continuationSeparator" w:id="0">
    <w:p w:rsidR="00472F16" w:rsidRDefault="00472F16" w:rsidP="0024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16" w:rsidRDefault="00472F16" w:rsidP="0024157B">
      <w:r>
        <w:separator/>
      </w:r>
    </w:p>
  </w:footnote>
  <w:footnote w:type="continuationSeparator" w:id="0">
    <w:p w:rsidR="00472F16" w:rsidRDefault="00472F16" w:rsidP="00241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0D" w:rsidRDefault="0084320D">
    <w:pPr>
      <w:pStyle w:val="Header"/>
    </w:pPr>
    <w:r>
      <w:rPr>
        <w:rFonts w:ascii="Arial" w:hAnsi="Arial" w:cs="Arial"/>
        <w:noProof/>
        <w:sz w:val="36"/>
        <w:szCs w:val="36"/>
        <w:lang w:eastAsia="en-AU"/>
      </w:rPr>
      <w:drawing>
        <wp:anchor distT="0" distB="0" distL="114300" distR="114300" simplePos="0" relativeHeight="251659264" behindDoc="1" locked="0" layoutInCell="0" allowOverlap="1" wp14:anchorId="6329501C" wp14:editId="42F33663">
          <wp:simplePos x="0" y="0"/>
          <wp:positionH relativeFrom="column">
            <wp:posOffset>-144780</wp:posOffset>
          </wp:positionH>
          <wp:positionV relativeFrom="paragraph">
            <wp:posOffset>66040</wp:posOffset>
          </wp:positionV>
          <wp:extent cx="1463040" cy="1240155"/>
          <wp:effectExtent l="0" t="0" r="3810" b="0"/>
          <wp:wrapThrough wrapText="bothSides">
            <wp:wrapPolygon edited="0">
              <wp:start x="0" y="0"/>
              <wp:lineTo x="0" y="21235"/>
              <wp:lineTo x="21375" y="21235"/>
              <wp:lineTo x="21375" y="0"/>
              <wp:lineTo x="0" y="0"/>
            </wp:wrapPolygon>
          </wp:wrapThrough>
          <wp:docPr id="3" name="Picture 3"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20D" w:rsidRDefault="0084320D">
    <w:pPr>
      <w:pStyle w:val="Header"/>
    </w:pPr>
  </w:p>
  <w:p w:rsidR="0084320D" w:rsidRPr="0084320D" w:rsidRDefault="0084320D" w:rsidP="0084320D">
    <w:pPr>
      <w:pStyle w:val="Header"/>
      <w:ind w:firstLine="2977"/>
      <w:rPr>
        <w:rFonts w:ascii="Arial" w:hAnsi="Arial" w:cs="Arial"/>
        <w:sz w:val="36"/>
        <w:szCs w:val="36"/>
      </w:rPr>
    </w:pPr>
    <w:r w:rsidRPr="0084320D">
      <w:rPr>
        <w:rFonts w:ascii="Arial" w:hAnsi="Arial" w:cs="Arial"/>
        <w:sz w:val="36"/>
        <w:szCs w:val="36"/>
      </w:rPr>
      <w:t>Cockatoo Primary School</w:t>
    </w:r>
  </w:p>
  <w:p w:rsidR="0084320D" w:rsidRPr="0084320D" w:rsidRDefault="0084320D" w:rsidP="0084320D">
    <w:pPr>
      <w:pStyle w:val="Header"/>
      <w:ind w:firstLine="2977"/>
      <w:rPr>
        <w:rFonts w:ascii="Arial" w:hAnsi="Arial" w:cs="Arial"/>
        <w:sz w:val="36"/>
        <w:szCs w:val="36"/>
      </w:rPr>
    </w:pPr>
  </w:p>
  <w:p w:rsidR="00CB3BCE" w:rsidRPr="00CB3BCE" w:rsidRDefault="0084320D" w:rsidP="00CB3BCE">
    <w:pPr>
      <w:pStyle w:val="Header"/>
      <w:jc w:val="center"/>
      <w:rPr>
        <w:rFonts w:ascii="Arial" w:hAnsi="Arial" w:cs="Arial"/>
        <w:sz w:val="28"/>
        <w:szCs w:val="28"/>
      </w:rPr>
    </w:pPr>
    <w:r>
      <w:rPr>
        <w:rFonts w:ascii="Arial" w:hAnsi="Arial" w:cs="Arial"/>
        <w:sz w:val="28"/>
        <w:szCs w:val="36"/>
      </w:rPr>
      <w:t xml:space="preserve">            </w:t>
    </w:r>
    <w:r w:rsidR="00A6628D">
      <w:rPr>
        <w:rFonts w:ascii="Arial" w:hAnsi="Arial" w:cs="Arial"/>
        <w:sz w:val="28"/>
        <w:szCs w:val="28"/>
      </w:rPr>
      <w:t>Responding to Child Abuse</w:t>
    </w:r>
  </w:p>
  <w:p w:rsidR="0084320D" w:rsidRDefault="0084320D" w:rsidP="00CB3BCE">
    <w:pPr>
      <w:pStyle w:val="Header"/>
      <w:ind w:firstLine="29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203"/>
    <w:multiLevelType w:val="hybridMultilevel"/>
    <w:tmpl w:val="59903D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6D64307"/>
    <w:multiLevelType w:val="hybridMultilevel"/>
    <w:tmpl w:val="3A66EA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F551C3"/>
    <w:multiLevelType w:val="hybridMultilevel"/>
    <w:tmpl w:val="BD6C5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F855E09"/>
    <w:multiLevelType w:val="hybridMultilevel"/>
    <w:tmpl w:val="7D9677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7B"/>
    <w:rsid w:val="000A178B"/>
    <w:rsid w:val="00225ACA"/>
    <w:rsid w:val="0024157B"/>
    <w:rsid w:val="00472F16"/>
    <w:rsid w:val="004A4B04"/>
    <w:rsid w:val="0056064C"/>
    <w:rsid w:val="005D77BE"/>
    <w:rsid w:val="006154CE"/>
    <w:rsid w:val="006F7644"/>
    <w:rsid w:val="0079595E"/>
    <w:rsid w:val="0084320D"/>
    <w:rsid w:val="00A6628D"/>
    <w:rsid w:val="00B50D26"/>
    <w:rsid w:val="00C224A0"/>
    <w:rsid w:val="00C57271"/>
    <w:rsid w:val="00C72ADB"/>
    <w:rsid w:val="00CB2CED"/>
    <w:rsid w:val="00CB3BCE"/>
    <w:rsid w:val="00DC2AF5"/>
    <w:rsid w:val="00FF3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57B"/>
    <w:pPr>
      <w:tabs>
        <w:tab w:val="center" w:pos="4513"/>
        <w:tab w:val="right" w:pos="9026"/>
      </w:tabs>
    </w:pPr>
  </w:style>
  <w:style w:type="character" w:customStyle="1" w:styleId="HeaderChar">
    <w:name w:val="Header Char"/>
    <w:basedOn w:val="DefaultParagraphFont"/>
    <w:link w:val="Header"/>
    <w:uiPriority w:val="99"/>
    <w:rsid w:val="0024157B"/>
  </w:style>
  <w:style w:type="paragraph" w:styleId="Footer">
    <w:name w:val="footer"/>
    <w:basedOn w:val="Normal"/>
    <w:link w:val="FooterChar"/>
    <w:uiPriority w:val="99"/>
    <w:unhideWhenUsed/>
    <w:rsid w:val="0024157B"/>
    <w:pPr>
      <w:tabs>
        <w:tab w:val="center" w:pos="4513"/>
        <w:tab w:val="right" w:pos="9026"/>
      </w:tabs>
    </w:pPr>
  </w:style>
  <w:style w:type="character" w:customStyle="1" w:styleId="FooterChar">
    <w:name w:val="Footer Char"/>
    <w:basedOn w:val="DefaultParagraphFont"/>
    <w:link w:val="Footer"/>
    <w:uiPriority w:val="99"/>
    <w:rsid w:val="0024157B"/>
  </w:style>
  <w:style w:type="paragraph" w:styleId="BalloonText">
    <w:name w:val="Balloon Text"/>
    <w:basedOn w:val="Normal"/>
    <w:link w:val="BalloonTextChar"/>
    <w:uiPriority w:val="99"/>
    <w:semiHidden/>
    <w:unhideWhenUsed/>
    <w:rsid w:val="0024157B"/>
    <w:rPr>
      <w:rFonts w:ascii="Tahoma" w:hAnsi="Tahoma" w:cs="Tahoma"/>
      <w:sz w:val="16"/>
      <w:szCs w:val="16"/>
    </w:rPr>
  </w:style>
  <w:style w:type="character" w:customStyle="1" w:styleId="BalloonTextChar">
    <w:name w:val="Balloon Text Char"/>
    <w:basedOn w:val="DefaultParagraphFont"/>
    <w:link w:val="BalloonText"/>
    <w:uiPriority w:val="99"/>
    <w:semiHidden/>
    <w:rsid w:val="0024157B"/>
    <w:rPr>
      <w:rFonts w:ascii="Tahoma" w:hAnsi="Tahoma" w:cs="Tahoma"/>
      <w:sz w:val="16"/>
      <w:szCs w:val="16"/>
    </w:rPr>
  </w:style>
  <w:style w:type="paragraph" w:styleId="ListParagraph">
    <w:name w:val="List Paragraph"/>
    <w:basedOn w:val="Normal"/>
    <w:uiPriority w:val="34"/>
    <w:qFormat/>
    <w:rsid w:val="0024157B"/>
    <w:pPr>
      <w:ind w:left="720"/>
      <w:contextualSpacing/>
    </w:pPr>
  </w:style>
  <w:style w:type="character" w:styleId="Hyperlink">
    <w:name w:val="Hyperlink"/>
    <w:rsid w:val="00CB3B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57B"/>
    <w:pPr>
      <w:tabs>
        <w:tab w:val="center" w:pos="4513"/>
        <w:tab w:val="right" w:pos="9026"/>
      </w:tabs>
    </w:pPr>
  </w:style>
  <w:style w:type="character" w:customStyle="1" w:styleId="HeaderChar">
    <w:name w:val="Header Char"/>
    <w:basedOn w:val="DefaultParagraphFont"/>
    <w:link w:val="Header"/>
    <w:uiPriority w:val="99"/>
    <w:rsid w:val="0024157B"/>
  </w:style>
  <w:style w:type="paragraph" w:styleId="Footer">
    <w:name w:val="footer"/>
    <w:basedOn w:val="Normal"/>
    <w:link w:val="FooterChar"/>
    <w:uiPriority w:val="99"/>
    <w:unhideWhenUsed/>
    <w:rsid w:val="0024157B"/>
    <w:pPr>
      <w:tabs>
        <w:tab w:val="center" w:pos="4513"/>
        <w:tab w:val="right" w:pos="9026"/>
      </w:tabs>
    </w:pPr>
  </w:style>
  <w:style w:type="character" w:customStyle="1" w:styleId="FooterChar">
    <w:name w:val="Footer Char"/>
    <w:basedOn w:val="DefaultParagraphFont"/>
    <w:link w:val="Footer"/>
    <w:uiPriority w:val="99"/>
    <w:rsid w:val="0024157B"/>
  </w:style>
  <w:style w:type="paragraph" w:styleId="BalloonText">
    <w:name w:val="Balloon Text"/>
    <w:basedOn w:val="Normal"/>
    <w:link w:val="BalloonTextChar"/>
    <w:uiPriority w:val="99"/>
    <w:semiHidden/>
    <w:unhideWhenUsed/>
    <w:rsid w:val="0024157B"/>
    <w:rPr>
      <w:rFonts w:ascii="Tahoma" w:hAnsi="Tahoma" w:cs="Tahoma"/>
      <w:sz w:val="16"/>
      <w:szCs w:val="16"/>
    </w:rPr>
  </w:style>
  <w:style w:type="character" w:customStyle="1" w:styleId="BalloonTextChar">
    <w:name w:val="Balloon Text Char"/>
    <w:basedOn w:val="DefaultParagraphFont"/>
    <w:link w:val="BalloonText"/>
    <w:uiPriority w:val="99"/>
    <w:semiHidden/>
    <w:rsid w:val="0024157B"/>
    <w:rPr>
      <w:rFonts w:ascii="Tahoma" w:hAnsi="Tahoma" w:cs="Tahoma"/>
      <w:sz w:val="16"/>
      <w:szCs w:val="16"/>
    </w:rPr>
  </w:style>
  <w:style w:type="paragraph" w:styleId="ListParagraph">
    <w:name w:val="List Paragraph"/>
    <w:basedOn w:val="Normal"/>
    <w:uiPriority w:val="34"/>
    <w:qFormat/>
    <w:rsid w:val="0024157B"/>
    <w:pPr>
      <w:ind w:left="720"/>
      <w:contextualSpacing/>
    </w:pPr>
  </w:style>
  <w:style w:type="character" w:styleId="Hyperlink">
    <w:name w:val="Hyperlink"/>
    <w:rsid w:val="00CB3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for-business-and-community/community-involvement/people-with-a-disability-in-the-community/communicate-and-consult-with-people-with-a-disability/communication-with-people-with-disabilities" TargetMode="External"/><Relationship Id="rId13" Type="http://schemas.openxmlformats.org/officeDocument/2006/relationships/hyperlink" Target="http://www.cpmanual.vic.gov.au/advice-and-protocols/advice/intake/mandatory-reporti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pmanual.vic.gov.au/advice-and-protocols/advice/intake/mandatory-reporting%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stice.vic.gov.au/home/safer+communities/protecting+children+and+families/failure+to+disclose+offence" TargetMode="External"/><Relationship Id="rId5" Type="http://schemas.openxmlformats.org/officeDocument/2006/relationships/webSettings" Target="webSettings.xml"/><Relationship Id="rId15" Type="http://schemas.openxmlformats.org/officeDocument/2006/relationships/hyperlink" Target="http://www.dhs.vic.gov.au/about-the-department/documents-and-resources/reports-publications/guide-to-making-a-report-to-child-protection-or-child-first" TargetMode="External"/><Relationship Id="rId10" Type="http://schemas.openxmlformats.org/officeDocument/2006/relationships/hyperlink" Target="http://www.justice.vic.gov.au/home/safer+communities/protecting+children+and+families/failure+to+disclose+offence" TargetMode="External"/><Relationship Id="rId4" Type="http://schemas.openxmlformats.org/officeDocument/2006/relationships/settings" Target="settings.xml"/><Relationship Id="rId9" Type="http://schemas.openxmlformats.org/officeDocument/2006/relationships/hyperlink" Target="http://www.dhs.vic.gov.au/for-business-and-community/community-involvement/people-with-a-disability-in-the-community/communicate-and-consult-with-people-with-a-disability/communication-with-people-with-disabilities" TargetMode="External"/><Relationship Id="rId14" Type="http://schemas.openxmlformats.org/officeDocument/2006/relationships/hyperlink" Target="http://www.dhs.vic.gov.au/about-the-department/documents-and-resources/reports-publications/guide-to-making-a-report-to-child-protection-or-child-fir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Donald R</dc:creator>
  <cp:lastModifiedBy>Fox, Rachel J</cp:lastModifiedBy>
  <cp:revision>2</cp:revision>
  <cp:lastPrinted>2014-04-20T00:40:00Z</cp:lastPrinted>
  <dcterms:created xsi:type="dcterms:W3CDTF">2016-11-14T05:22:00Z</dcterms:created>
  <dcterms:modified xsi:type="dcterms:W3CDTF">2016-11-14T05:22:00Z</dcterms:modified>
</cp:coreProperties>
</file>